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5</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3" w:name="_GoBack"/>
      <w:bookmarkEnd w:id="3"/>
      <w:r>
        <w:rPr>
          <w:rFonts w:hint="eastAsia" w:ascii="Arial" w:hAnsi="Arial" w:eastAsia="宋体" w:cs="Arial"/>
          <w:b/>
          <w:color w:val="auto"/>
          <w:sz w:val="24"/>
          <w:szCs w:val="24"/>
          <w:lang w:val="en-US" w:eastAsia="zh-CN"/>
        </w:rPr>
        <w:t>R4-2506947</w:t>
      </w:r>
    </w:p>
    <w:bookmarkEnd w:id="2"/>
    <w:p>
      <w:pPr>
        <w:pStyle w:val="15"/>
        <w:tabs>
          <w:tab w:val="right" w:pos="9781"/>
          <w:tab w:val="right" w:pos="13323"/>
          <w:tab w:val="clear" w:pos="4680"/>
          <w:tab w:val="clear" w:pos="9360"/>
        </w:tabs>
        <w:spacing w:before="60" w:after="60"/>
        <w:outlineLvl w:val="0"/>
        <w:rPr>
          <w:rFonts w:hint="eastAsia" w:ascii="Arial" w:hAnsi="Arial" w:eastAsia="宋体" w:cs="Arial"/>
          <w:b/>
          <w:color w:val="auto"/>
          <w:sz w:val="24"/>
          <w:szCs w:val="24"/>
          <w:lang w:eastAsia="zh-CN"/>
        </w:rPr>
      </w:pPr>
      <w:r>
        <w:rPr>
          <w:rFonts w:hint="eastAsia" w:ascii="Arial" w:hAnsi="Arial" w:eastAsia="宋体" w:cs="Arial"/>
          <w:b/>
          <w:color w:val="auto"/>
          <w:sz w:val="24"/>
          <w:szCs w:val="24"/>
          <w:lang w:eastAsia="zh-CN"/>
        </w:rPr>
        <w:t>Malta, MT, 19th – 23rd May,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UE demodulation performance requirements for 8Rx with MMSE-IRC</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7.17.3</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UE performance requirements for 8Rx CPE/FWA/vehicle/industrial devices, which was approved in [1], wherein the objectives related to 8Rx for CPE/FWA /vehicles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numPr>
                <w:ilvl w:val="0"/>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Define the following UE performance </w:t>
            </w:r>
            <w:r>
              <w:rPr>
                <w:rFonts w:hint="default"/>
                <w:szCs w:val="20"/>
                <w:lang w:val="en-US" w:eastAsia="zh-CN"/>
              </w:rPr>
              <w:t>requirements</w:t>
            </w:r>
            <w:r>
              <w:rPr>
                <w:rFonts w:hint="default"/>
                <w:szCs w:val="20"/>
                <w:lang w:eastAsia="zh-CN"/>
              </w:rPr>
              <w:t xml:space="preserve"> for 8Rx CPE/FWA/vehicle/industrial devices:</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and CQI reporting requirements with inter-cell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Reuse the Rel-17 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requirements with intra-cell inter-user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2"/>
                <w:vertAlign w:val="baseline"/>
                <w:lang w:val="en-US" w:eastAsia="zh-CN"/>
              </w:rPr>
            </w:pPr>
            <w:r>
              <w:rPr>
                <w:rFonts w:hint="default"/>
                <w:szCs w:val="20"/>
                <w:lang w:eastAsia="zh-CN"/>
              </w:rPr>
              <w:t xml:space="preserve">Reuse the </w:t>
            </w:r>
            <w:r>
              <w:rPr>
                <w:rFonts w:hint="eastAsia"/>
                <w:szCs w:val="20"/>
                <w:lang w:eastAsia="zh-CN"/>
              </w:rPr>
              <w:t xml:space="preserve">existing </w:t>
            </w:r>
            <w:r>
              <w:rPr>
                <w:rFonts w:hint="default"/>
                <w:szCs w:val="20"/>
                <w:lang w:eastAsia="zh-CN"/>
              </w:rPr>
              <w:t xml:space="preserve">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tc>
      </w:tr>
    </w:tbl>
    <w:p>
      <w:pPr>
        <w:spacing w:before="120" w:after="120"/>
        <w:rPr>
          <w:rFonts w:hint="eastAsia"/>
          <w:szCs w:val="22"/>
        </w:rPr>
      </w:pPr>
      <w:r>
        <w:rPr>
          <w:rFonts w:hint="eastAsia"/>
          <w:szCs w:val="22"/>
          <w:lang w:val="en-US" w:eastAsia="zh-CN"/>
        </w:rPr>
        <w:t xml:space="preserve">In this contribution, we give some initial discussions on the </w:t>
      </w:r>
      <w:r>
        <w:rPr>
          <w:lang w:eastAsia="zh-CN"/>
        </w:rPr>
        <w:t xml:space="preserve">UE performance </w:t>
      </w:r>
      <w:r>
        <w:rPr>
          <w:lang w:val="en-US" w:eastAsia="zh-CN"/>
        </w:rPr>
        <w:t>requirements</w:t>
      </w:r>
      <w:r>
        <w:rPr>
          <w:lang w:eastAsia="zh-CN"/>
        </w:rPr>
        <w:t xml:space="preserve"> for 8Rx CPE/FWA/vehicle/industrial device</w:t>
      </w:r>
      <w:r>
        <w:rPr>
          <w:rFonts w:hint="eastAsia"/>
          <w:lang w:val="en-US" w:eastAsia="zh-CN"/>
        </w:rPr>
        <w:t>, which include inter-cell interference cancellation and intra-cell inter-user interference cancellation based on the lasting meeting conclusion [2].</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As we all know, co-channel inter-cell and intra-cell inter-user interference cancellation performance requirements were introduced in Rel-17. And in Rel-18, RAN4 introduced 8Rx demodulation requirements for PDSCH and CSI performance. With 8Rx, larger performance gain can be verified, due to larger spatial domain freedom compared to 2/4Rx. As a consequence, from demodulation perspective, there are more benefits to define UE performance requirements for 8Rx CPE/FWA/vehicle/industrial devices under interference scenarios.</w:t>
      </w:r>
    </w:p>
    <w:p>
      <w:pPr>
        <w:numPr>
          <w:ilvl w:val="1"/>
          <w:numId w:val="0"/>
        </w:numPr>
        <w:ind w:leftChars="0" w:right="210" w:rightChars="100"/>
        <w:outlineLvl w:val="1"/>
        <w:rPr>
          <w:rFonts w:hint="eastAsia"/>
          <w:b/>
          <w:bCs/>
          <w:i/>
          <w:iCs/>
          <w:szCs w:val="21"/>
          <w:lang w:val="en-US" w:eastAsia="zh-CN"/>
        </w:rPr>
      </w:pPr>
      <w:r>
        <w:rPr>
          <w:rFonts w:hint="eastAsia"/>
          <w:b/>
          <w:bCs/>
          <w:sz w:val="24"/>
          <w:szCs w:val="24"/>
          <w:lang w:val="en-US" w:eastAsia="zh-CN"/>
        </w:rPr>
        <w:t>Sub-topic 1-1 General</w:t>
      </w:r>
    </w:p>
    <w:p>
      <w:pPr>
        <w:rPr>
          <w:rFonts w:hint="eastAsia"/>
          <w:b/>
          <w:highlight w:val="none"/>
          <w:u w:val="single"/>
          <w:lang w:val="en-US"/>
        </w:rPr>
      </w:pPr>
      <w:r>
        <w:rPr>
          <w:rFonts w:hint="eastAsia"/>
          <w:b/>
          <w:highlight w:val="none"/>
          <w:u w:val="single"/>
          <w:lang w:val="en-US"/>
        </w:rPr>
        <w:t>8Rx UE MMSE-IRC receiver coverage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iCs/>
                <w:sz w:val="20"/>
                <w:szCs w:val="20"/>
                <w:lang w:val="en-US" w:eastAsia="zh-CN"/>
              </w:rPr>
            </w:pPr>
            <w:r>
              <w:rPr>
                <w:rFonts w:hint="default"/>
                <w:iCs/>
                <w:sz w:val="20"/>
                <w:szCs w:val="20"/>
                <w:lang w:val="en-US" w:eastAsia="zh-CN"/>
              </w:rPr>
              <w:t>Agreement:</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0"/>
                <w:szCs w:val="20"/>
                <w:lang w:val="en-US" w:eastAsia="zh-CN"/>
              </w:rPr>
            </w:pPr>
            <w:r>
              <w:rPr>
                <w:rFonts w:hint="default"/>
                <w:iCs/>
                <w:sz w:val="20"/>
                <w:szCs w:val="20"/>
                <w:lang w:val="en-US" w:eastAsia="zh-CN"/>
              </w:rPr>
              <w:t>Down select the [limit] to one of 0.5dB or 1.0dB.</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iCs/>
                <w:sz w:val="20"/>
                <w:szCs w:val="20"/>
                <w:lang w:val="en-US" w:eastAsia="zh-CN"/>
              </w:rPr>
            </w:pPr>
            <w:r>
              <w:rPr>
                <w:rFonts w:hint="default"/>
                <w:iCs/>
                <w:sz w:val="20"/>
                <w:szCs w:val="20"/>
                <w:lang w:val="en-US" w:eastAsia="zh-CN"/>
              </w:rPr>
              <w:t>Remaining proposals: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
                <w:u w:val="single"/>
                <w:vertAlign w:val="baseline"/>
                <w:lang w:val="en-US" w:eastAsia="zh-CN"/>
              </w:rPr>
            </w:pPr>
            <w:r>
              <w:rPr>
                <w:rFonts w:hint="default"/>
                <w:sz w:val="20"/>
                <w:szCs w:val="20"/>
                <w:lang w:val="en-US" w:eastAsia="zh-CN"/>
              </w:rPr>
              <w:t xml:space="preserve">Option 1: </w:t>
            </w:r>
            <w:r>
              <w:rPr>
                <w:rFonts w:hint="default"/>
                <w:sz w:val="20"/>
                <w:szCs w:val="20"/>
                <w:lang w:val="en-US" w:eastAsia="zh-CN"/>
              </w:rPr>
              <w:br w:type="textWrapping"/>
            </w:r>
            <w:r>
              <w:rPr>
                <w:rFonts w:hint="default"/>
                <w:sz w:val="20"/>
                <w:szCs w:val="20"/>
                <w:lang w:val="en-US" w:eastAsia="zh-CN"/>
              </w:rPr>
              <w:t>Introduce one more rule on the top of the agreed criteria: After reviewing the simulation results for all the test cases by the agreed criteria, if 2 sets of requirements are required for at least one test case, define two sets of PDSCH requirements for all cases,</w:t>
            </w:r>
            <w:r>
              <w:rPr>
                <w:rFonts w:hint="default"/>
                <w:b/>
                <w:bCs/>
                <w:sz w:val="20"/>
                <w:szCs w:val="20"/>
                <w:lang w:val="en-US" w:eastAsia="zh-CN"/>
              </w:rPr>
              <w:t xml:space="preserve"> which are applicable for both baseline and simplified receivers.</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The controversial issue is that how to define a criteria to cover two sets of requirements for specific configuration in last meeting. Regarding baseline and simplified receivers, which is different implementations for baseband. From our point of view, we prefer to define separate requirements for both of them. Therefore, RAN4 needs to discuss the actual value of difference for baseline and simplified receivers, also needs to specific the value based on which calculate methods are used. In legacy requirements, RAN4 always used average SNR or SINR value among different companies. The average is one of the most commonly used indicators to describe the central tendency of a dataset, providing information on the center point or typical value of a set of data. Specifically, the average reveals the balancing point of all observation within the dataset. Generally, we also prefer to use average SNR as a threshold to measure the results of different processing. From the last meeting simulation results[3], we found that the two sets results for all baseline and simplified receivers are more than 1 dB. On the other side, since RAN4 did not reach a consensus on the Rank 4+4 scenario for MU-MIMO, there is no need to consider the case where the simplified receiver cannot work in the Rank 4+4 scenario. In other words, the test cases currently covered can both support baseline and simplified receivers.</w:t>
      </w:r>
    </w:p>
    <w:p>
      <w:pPr>
        <w:widowControl w:val="0"/>
        <w:spacing w:beforeLines="100" w:afterLines="0" w:line="240" w:lineRule="auto"/>
        <w:jc w:val="both"/>
        <w:rPr>
          <w:rFonts w:hint="default" w:cs="Times New Roman"/>
          <w:kern w:val="2"/>
          <w:sz w:val="21"/>
          <w:lang w:val="en-US" w:eastAsia="zh-CN" w:bidi="ar-SA"/>
        </w:rPr>
      </w:pPr>
      <w:r>
        <w:rPr>
          <w:rFonts w:hint="eastAsia"/>
          <w:b/>
          <w:bCs/>
          <w:i/>
          <w:iCs/>
          <w:szCs w:val="21"/>
          <w:lang w:val="en-US" w:eastAsia="zh-CN"/>
        </w:rPr>
        <w:t>Proposal 1. Propose to prefer to consider 1dB difference for defining two sets of requirements.</w:t>
      </w:r>
    </w:p>
    <w:p>
      <w:pPr>
        <w:pStyle w:val="3"/>
        <w:numPr>
          <w:ilvl w:val="2"/>
          <w:numId w:val="0"/>
        </w:numPr>
        <w:overflowPunct/>
        <w:autoSpaceDE/>
        <w:autoSpaceDN/>
        <w:adjustRightInd/>
        <w:ind w:left="720" w:hanging="720"/>
        <w:textAlignment w:val="auto"/>
        <w:outlineLvl w:val="1"/>
        <w:rPr>
          <w:rFonts w:hint="eastAsia" w:ascii="Times New Roman" w:hAnsi="Times New Roman" w:eastAsia="宋体" w:cs="Times New Roman"/>
          <w:b/>
          <w:bCs/>
          <w:kern w:val="2"/>
          <w:sz w:val="24"/>
          <w:szCs w:val="24"/>
          <w:lang w:val="en-GB" w:eastAsia="en-GB" w:bidi="ar-SA"/>
        </w:rPr>
      </w:pPr>
      <w:r>
        <w:rPr>
          <w:rFonts w:hint="eastAsia" w:ascii="Times New Roman" w:hAnsi="Times New Roman" w:eastAsia="宋体" w:cs="Times New Roman"/>
          <w:b/>
          <w:bCs/>
          <w:kern w:val="2"/>
          <w:sz w:val="24"/>
          <w:szCs w:val="24"/>
          <w:lang w:val="en-GB" w:eastAsia="en-GB" w:bidi="ar-SA"/>
        </w:rPr>
        <w:t>Sub-topic 1-5 Applicability rule and release independent</w:t>
      </w:r>
    </w:p>
    <w:p>
      <w:pPr>
        <w:rPr>
          <w:rFonts w:hint="eastAsia"/>
          <w:lang w:val="en-GB" w:eastAsia="en-GB"/>
        </w:rPr>
      </w:pPr>
      <w:r>
        <w:rPr>
          <w:b/>
          <w:u w:val="single"/>
        </w:rPr>
        <w:t>Test applicability</w:t>
      </w:r>
      <w:r>
        <w:rPr>
          <w:b/>
          <w:u w:val="single"/>
          <w:lang w:val="en-US" w:eastAsia="ko-KR"/>
        </w:rPr>
        <w:t xml:space="preserve"> to skip 2/4Rx requirements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0"/>
                <w:szCs w:val="20"/>
                <w:lang w:val="en-US" w:eastAsia="zh-CN"/>
              </w:rPr>
            </w:pPr>
            <w:r>
              <w:rPr>
                <w:rFonts w:hint="default"/>
                <w:sz w:val="20"/>
                <w:szCs w:val="20"/>
                <w:lang w:val="en-US" w:eastAsia="zh-CN"/>
              </w:rPr>
              <w:t>Proposals</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val="en-US" w:eastAsia="zh-CN"/>
              </w:rPr>
            </w:pPr>
            <w:r>
              <w:rPr>
                <w:rFonts w:hint="eastAsia"/>
                <w:sz w:val="20"/>
                <w:szCs w:val="20"/>
                <w:lang w:val="en-US" w:eastAsia="zh-CN"/>
              </w:rPr>
              <w:t xml:space="preserve"> </w:t>
            </w:r>
            <w:r>
              <w:rPr>
                <w:rFonts w:hint="default"/>
                <w:sz w:val="20"/>
                <w:szCs w:val="20"/>
                <w:lang w:val="en-US" w:eastAsia="zh-CN"/>
              </w:rPr>
              <w:t>Option</w:t>
            </w:r>
            <w:r>
              <w:rPr>
                <w:rFonts w:hint="default" w:eastAsiaTheme="minorEastAsia"/>
                <w:bCs/>
                <w:sz w:val="20"/>
                <w:szCs w:val="20"/>
                <w:lang w:val="en-US" w:eastAsia="zh-TW"/>
              </w:rPr>
              <w:t xml:space="preserve"> 1:</w:t>
            </w:r>
            <w:r>
              <w:rPr>
                <w:rFonts w:hint="default" w:eastAsiaTheme="minorEastAsia"/>
                <w:bCs/>
                <w:sz w:val="20"/>
                <w:szCs w:val="20"/>
                <w:lang w:val="en-US" w:eastAsia="zh-TW"/>
              </w:rPr>
              <w:br w:type="textWrapping"/>
            </w:r>
            <w:r>
              <w:rPr>
                <w:rFonts w:hint="default"/>
                <w:sz w:val="20"/>
                <w:szCs w:val="20"/>
                <w:lang w:val="en-US" w:eastAsia="zh-CN"/>
              </w:rPr>
              <w:t>For UEs supporting 8Rx, 2Rx and/or 4Rx, if UE passes 8Rx tests for inter-cell interference (PDSCH and CQI) and intra-cell inter-user interference (PDSCH), the 2 and/or 4Rx tests for inter-cell interference (PDSCH and CQI) and intra-cell inter-user interference (PDSCH) can be skipped, no matter same test configurations as 2RX/4RX are defined or not.</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val="en-US" w:eastAsia="zh-CN"/>
              </w:rPr>
            </w:pPr>
            <w:r>
              <w:rPr>
                <w:rFonts w:hint="eastAsia"/>
                <w:sz w:val="20"/>
                <w:szCs w:val="20"/>
                <w:lang w:val="en-US" w:eastAsia="zh-CN"/>
              </w:rPr>
              <w:t xml:space="preserve"> </w:t>
            </w:r>
            <w:r>
              <w:rPr>
                <w:rFonts w:hint="default"/>
                <w:sz w:val="20"/>
                <w:szCs w:val="20"/>
                <w:lang w:val="en-US" w:eastAsia="zh-CN"/>
              </w:rPr>
              <w:t>Option 2:</w:t>
            </w:r>
            <w:r>
              <w:rPr>
                <w:rFonts w:hint="default"/>
                <w:sz w:val="20"/>
                <w:szCs w:val="20"/>
                <w:lang w:val="en-US" w:eastAsia="zh-CN"/>
              </w:rPr>
              <w:br w:type="textWrapping"/>
            </w:r>
            <w:r>
              <w:rPr>
                <w:rFonts w:hint="default"/>
                <w:sz w:val="20"/>
                <w:szCs w:val="20"/>
                <w:lang w:val="en-US" w:eastAsia="zh-CN"/>
              </w:rPr>
              <w:t>To consider if UEs supporting both 8Rx and 2/4Rx, the 2/4Rx tests under inter cell interference and under intra cell inter user interference can be skipped if the corresponding 8Rx requirements are passed.</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val="en-US" w:eastAsia="zh-CN"/>
              </w:rPr>
            </w:pPr>
            <w:r>
              <w:rPr>
                <w:rFonts w:hint="eastAsia"/>
                <w:sz w:val="20"/>
                <w:szCs w:val="20"/>
                <w:lang w:val="en-US" w:eastAsia="zh-CN"/>
              </w:rPr>
              <w:t xml:space="preserve"> </w:t>
            </w:r>
            <w:r>
              <w:rPr>
                <w:rFonts w:hint="default"/>
                <w:sz w:val="20"/>
                <w:szCs w:val="20"/>
                <w:lang w:val="en-US" w:eastAsia="zh-CN"/>
              </w:rPr>
              <w:t>Option 3:</w:t>
            </w:r>
            <w:r>
              <w:rPr>
                <w:rFonts w:hint="default"/>
                <w:sz w:val="20"/>
                <w:szCs w:val="20"/>
                <w:lang w:val="en-US" w:eastAsia="zh-CN"/>
              </w:rPr>
              <w:br w:type="textWrapping"/>
            </w:r>
            <w:r>
              <w:rPr>
                <w:rFonts w:hint="default"/>
                <w:sz w:val="20"/>
                <w:szCs w:val="20"/>
                <w:lang w:val="en-US" w:eastAsia="zh-CN"/>
              </w:rPr>
              <w:t>For UEs supporting both 8Rx and 2/4Rx, the 2/4Rx tests under inter cell interference and under intra cell inter user interference can be skipped if the corresponding 8Rx requirements are passed.</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20"/>
                <w:szCs w:val="20"/>
                <w:lang w:val="en-US" w:eastAsia="zh-CN"/>
              </w:rPr>
            </w:pPr>
            <w:r>
              <w:rPr>
                <w:rFonts w:hint="eastAsia"/>
                <w:sz w:val="20"/>
                <w:szCs w:val="20"/>
                <w:lang w:val="en-US" w:eastAsia="zh-CN"/>
              </w:rPr>
              <w:t xml:space="preserve"> </w:t>
            </w:r>
            <w:r>
              <w:rPr>
                <w:rFonts w:hint="default"/>
                <w:sz w:val="20"/>
                <w:szCs w:val="20"/>
                <w:lang w:val="en-US" w:eastAsia="zh-CN"/>
              </w:rPr>
              <w:t xml:space="preserve">Option 4: </w:t>
            </w:r>
            <w:r>
              <w:rPr>
                <w:rFonts w:hint="default"/>
                <w:sz w:val="20"/>
                <w:szCs w:val="20"/>
                <w:lang w:val="en-US" w:eastAsia="zh-CN"/>
              </w:rPr>
              <w:br w:type="textWrapping"/>
            </w:r>
            <w:r>
              <w:rPr>
                <w:rFonts w:hint="default"/>
                <w:sz w:val="20"/>
                <w:szCs w:val="20"/>
                <w:lang w:val="en-US" w:eastAsia="zh-CN"/>
              </w:rPr>
              <w:t>Introduce test applicability under inter-cell interference and under intra-cell inter user interference to skip a 2/4Rx requirement if at least the following applies for each considered 8Rx test:</w:t>
            </w:r>
            <w:r>
              <w:rPr>
                <w:rFonts w:hint="default"/>
                <w:sz w:val="20"/>
                <w:szCs w:val="20"/>
                <w:lang w:val="en-US" w:eastAsia="zh-CN"/>
              </w:rPr>
              <w:br w:type="textWrapping"/>
            </w:r>
            <w:r>
              <w:rPr>
                <w:rFonts w:hint="default"/>
                <w:sz w:val="20"/>
                <w:szCs w:val="20"/>
                <w:lang w:val="en-US" w:eastAsia="zh-CN"/>
              </w:rPr>
              <w:t>- UE support both 8Rx and 2/4Rx</w:t>
            </w:r>
            <w:r>
              <w:rPr>
                <w:rFonts w:hint="default"/>
                <w:sz w:val="20"/>
                <w:szCs w:val="20"/>
                <w:lang w:val="en-US" w:eastAsia="zh-CN"/>
              </w:rPr>
              <w:br w:type="textWrapping"/>
            </w:r>
            <w:r>
              <w:rPr>
                <w:rFonts w:hint="default"/>
                <w:sz w:val="20"/>
                <w:szCs w:val="20"/>
                <w:lang w:val="en-US" w:eastAsia="zh-CN"/>
              </w:rPr>
              <w:t>- The UE passes an 8Rx requirement with same rank and interference configuration as the 2/4Rx requirement.</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b/>
                <w:bCs/>
                <w:i/>
                <w:iCs/>
                <w:szCs w:val="21"/>
                <w:vertAlign w:val="baseline"/>
                <w:lang w:val="en-US" w:eastAsia="zh-CN"/>
              </w:rPr>
            </w:pPr>
            <w:r>
              <w:rPr>
                <w:rFonts w:hint="eastAsia" w:eastAsia="宋体"/>
                <w:sz w:val="20"/>
                <w:szCs w:val="20"/>
                <w:lang w:val="en-US" w:eastAsia="zh-CN"/>
              </w:rPr>
              <w:t xml:space="preserve"> </w:t>
            </w:r>
            <w:r>
              <w:rPr>
                <w:rFonts w:hint="default" w:eastAsia="宋体"/>
                <w:sz w:val="20"/>
                <w:szCs w:val="20"/>
                <w:lang w:val="en-US" w:eastAsia="zh-CN"/>
              </w:rPr>
              <w:t>Option 5:</w:t>
            </w:r>
            <w:r>
              <w:rPr>
                <w:rFonts w:hint="default" w:eastAsia="宋体"/>
                <w:sz w:val="20"/>
                <w:szCs w:val="20"/>
                <w:lang w:val="en-US" w:eastAsia="zh-CN"/>
              </w:rPr>
              <w:br w:type="textWrapping"/>
            </w:r>
            <w:r>
              <w:rPr>
                <w:rFonts w:hint="default"/>
                <w:sz w:val="20"/>
                <w:szCs w:val="20"/>
                <w:lang w:val="en-US" w:eastAsia="zh-CN"/>
              </w:rPr>
              <w:t>RAN4 shall have the following applicability rules:</w:t>
            </w:r>
            <w:r>
              <w:rPr>
                <w:rFonts w:hint="default"/>
                <w:sz w:val="20"/>
                <w:szCs w:val="20"/>
                <w:lang w:val="en-US" w:eastAsia="zh-CN"/>
              </w:rPr>
              <w:br w:type="textWrapping"/>
            </w:r>
            <w:r>
              <w:rPr>
                <w:rFonts w:hint="default"/>
                <w:sz w:val="20"/>
                <w:szCs w:val="20"/>
                <w:lang w:val="en-US" w:eastAsia="zh-CN"/>
              </w:rPr>
              <w:t>- UE that passes Rank2 ICI test case with 8Rx shall skip Rank1 ICI requirements with 4Rx.</w:t>
            </w:r>
            <w:r>
              <w:rPr>
                <w:rFonts w:hint="default"/>
                <w:sz w:val="20"/>
                <w:szCs w:val="20"/>
                <w:lang w:val="en-US" w:eastAsia="zh-CN"/>
              </w:rPr>
              <w:br w:type="textWrapping"/>
            </w:r>
            <w:r>
              <w:rPr>
                <w:rFonts w:hint="default"/>
                <w:sz w:val="20"/>
                <w:szCs w:val="20"/>
                <w:lang w:val="en-US" w:eastAsia="zh-CN"/>
              </w:rPr>
              <w:t>- UE that passes Rank2 MU-MIMO test case with 8Rx shall skip Rank1/2 MU-MIMO requirements with 4Rx.</w:t>
            </w:r>
          </w:p>
        </w:tc>
      </w:tr>
    </w:tbl>
    <w:p>
      <w:pPr>
        <w:rPr>
          <w:rFonts w:hint="eastAsia"/>
          <w:sz w:val="21"/>
          <w:szCs w:val="21"/>
          <w:lang w:val="en-US" w:eastAsia="zh-CN"/>
        </w:rPr>
      </w:pPr>
      <w:r>
        <w:rPr>
          <w:rFonts w:hint="eastAsia"/>
          <w:b w:val="0"/>
          <w:bCs/>
          <w:u w:val="none"/>
          <w:lang w:val="en-US" w:eastAsia="zh-CN"/>
        </w:rPr>
        <w:t>The motivation behind RAN4</w:t>
      </w:r>
      <w:r>
        <w:rPr>
          <w:rFonts w:hint="default"/>
          <w:b w:val="0"/>
          <w:bCs/>
          <w:u w:val="none"/>
          <w:lang w:val="en-US" w:eastAsia="zh-CN"/>
        </w:rPr>
        <w:t>’</w:t>
      </w:r>
      <w:r>
        <w:rPr>
          <w:rFonts w:hint="eastAsia"/>
          <w:b w:val="0"/>
          <w:bCs/>
          <w:u w:val="none"/>
          <w:lang w:val="en-US" w:eastAsia="zh-CN"/>
        </w:rPr>
        <w:t xml:space="preserve">s discussion of the test applicability rule that is to reduce the burden of UE if UE supports a high capability in testing. In Rel-17, RAN4 introduced inter interference scenario and intra-cell inter-iser interference scenario as mandatory feature for 2/4Rx UE. As illustrated in WID, </w:t>
      </w:r>
      <w:r>
        <w:rPr>
          <w:rFonts w:eastAsia="宋体"/>
          <w:sz w:val="21"/>
          <w:szCs w:val="21"/>
          <w:lang w:val="en-US" w:eastAsia="zh-CN"/>
        </w:rPr>
        <w:t>8Rx inter-cell interference scenario and intra-cell inter-user interference scenario</w:t>
      </w:r>
      <w:r>
        <w:rPr>
          <w:rFonts w:hint="eastAsia"/>
          <w:sz w:val="21"/>
          <w:szCs w:val="21"/>
          <w:lang w:val="en-US" w:eastAsia="zh-CN"/>
        </w:rPr>
        <w:t xml:space="preserve"> are also mandatory feature for UE. Hence, if UEs supporting both 8Rx and 2/4Rx, </w:t>
      </w:r>
      <w:r>
        <w:rPr>
          <w:rFonts w:eastAsia="宋体"/>
          <w:sz w:val="21"/>
          <w:szCs w:val="21"/>
          <w:lang w:val="en-US" w:eastAsia="zh-CN"/>
        </w:rPr>
        <w:t>2/4Rx tests under inter cell interference and under intra cell inter user interference can be skipped</w:t>
      </w:r>
      <w:r>
        <w:rPr>
          <w:rFonts w:hint="eastAsia"/>
          <w:sz w:val="21"/>
          <w:szCs w:val="21"/>
          <w:lang w:val="en-US" w:eastAsia="zh-CN"/>
        </w:rPr>
        <w:t xml:space="preserve">. Otherwise, </w:t>
      </w:r>
      <w:r>
        <w:rPr>
          <w:rFonts w:eastAsia="宋体"/>
          <w:sz w:val="21"/>
          <w:szCs w:val="21"/>
          <w:lang w:val="en-US" w:eastAsia="zh-CN"/>
        </w:rPr>
        <w:t>2/4Rx tests</w:t>
      </w:r>
      <w:r>
        <w:rPr>
          <w:rFonts w:hint="eastAsia"/>
          <w:sz w:val="21"/>
          <w:szCs w:val="21"/>
          <w:lang w:val="en-US" w:eastAsia="zh-CN"/>
        </w:rPr>
        <w:t xml:space="preserve"> could not be skipped.</w:t>
      </w:r>
    </w:p>
    <w:p>
      <w:pPr>
        <w:widowControl w:val="0"/>
        <w:spacing w:beforeLines="100" w:afterLines="0" w:line="240" w:lineRule="auto"/>
        <w:jc w:val="both"/>
        <w:rPr>
          <w:rFonts w:hint="default"/>
          <w:b/>
          <w:bCs/>
          <w:i/>
          <w:iCs/>
          <w:sz w:val="21"/>
          <w:szCs w:val="21"/>
          <w:lang w:val="en-US" w:eastAsia="zh-CN"/>
        </w:rPr>
      </w:pPr>
      <w:r>
        <w:rPr>
          <w:rFonts w:hint="eastAsia"/>
          <w:b/>
          <w:bCs/>
          <w:i/>
          <w:iCs/>
          <w:sz w:val="21"/>
          <w:szCs w:val="21"/>
          <w:lang w:val="en-US" w:eastAsia="zh-CN"/>
        </w:rPr>
        <w:t>Proposal 2. To consider if UEs supporting both 8Rx and 2/4Rx, the 2/4Rx tests under inter cell interference and under intra cell inter user interference can be skipped if the corresponding 8Rx requirements are passed.</w:t>
      </w:r>
    </w:p>
    <w:p>
      <w:pPr>
        <w:rPr>
          <w:b/>
          <w:u w:val="single"/>
        </w:rPr>
      </w:pPr>
      <w:r>
        <w:rPr>
          <w:b/>
          <w:u w:val="single"/>
        </w:rPr>
        <w:t>Release independent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0"/>
                <w:szCs w:val="20"/>
                <w:lang w:val="en-US" w:eastAsia="zh-CN"/>
              </w:rPr>
            </w:pPr>
            <w:r>
              <w:rPr>
                <w:rFonts w:hint="default"/>
                <w:sz w:val="20"/>
                <w:szCs w:val="20"/>
                <w:lang w:val="en-US" w:eastAsia="zh-CN"/>
              </w:rPr>
              <w:t>Agreement:</w:t>
            </w:r>
          </w:p>
          <w:p>
            <w:pPr>
              <w:pStyle w:val="33"/>
              <w:keepNext w:val="0"/>
              <w:keepLines w:val="0"/>
              <w:widowControl/>
              <w:numPr>
                <w:ilvl w:val="0"/>
                <w:numId w:val="10"/>
              </w:numPr>
              <w:suppressLineNumbers w:val="0"/>
              <w:overflowPunct/>
              <w:autoSpaceDE/>
              <w:autoSpaceDN/>
              <w:adjustRightInd/>
              <w:spacing w:before="0" w:beforeAutospacing="0" w:after="120" w:afterAutospacing="0"/>
              <w:ind w:right="0" w:firstLineChars="0"/>
              <w:textAlignment w:val="auto"/>
              <w:rPr>
                <w:rFonts w:hint="default"/>
                <w:sz w:val="20"/>
                <w:szCs w:val="20"/>
                <w:lang w:val="en-US" w:eastAsia="zh-CN"/>
              </w:rPr>
            </w:pPr>
            <w:r>
              <w:rPr>
                <w:rFonts w:hint="default" w:eastAsia="宋体"/>
                <w:sz w:val="20"/>
                <w:szCs w:val="20"/>
                <w:lang w:val="en-US" w:eastAsia="zh-CN"/>
              </w:rPr>
              <w:t xml:space="preserve">The new Rel-19 requirements shall </w:t>
            </w:r>
            <w:r>
              <w:rPr>
                <w:rFonts w:hint="default" w:eastAsia="宋体"/>
                <w:b/>
                <w:bCs/>
                <w:sz w:val="20"/>
                <w:szCs w:val="20"/>
                <w:lang w:val="en-US" w:eastAsia="zh-CN"/>
              </w:rPr>
              <w:t>at least</w:t>
            </w:r>
            <w:r>
              <w:rPr>
                <w:rFonts w:hint="default" w:eastAsia="宋体"/>
                <w:sz w:val="20"/>
                <w:szCs w:val="20"/>
                <w:lang w:val="en-US" w:eastAsia="zh-CN"/>
              </w:rPr>
              <w:t xml:space="preserve"> be release independent from Rel-18.</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0"/>
                <w:szCs w:val="20"/>
                <w:lang w:val="en-US" w:eastAsia="zh-CN"/>
              </w:rPr>
            </w:pPr>
            <w:r>
              <w:rPr>
                <w:rFonts w:hint="default"/>
                <w:sz w:val="20"/>
                <w:szCs w:val="20"/>
                <w:lang w:val="en-US" w:eastAsia="zh-CN"/>
              </w:rPr>
              <w:t>Remaining proposals:</w:t>
            </w:r>
          </w:p>
          <w:p>
            <w:pPr>
              <w:pStyle w:val="33"/>
              <w:keepNext w:val="0"/>
              <w:keepLines w:val="0"/>
              <w:widowControl/>
              <w:numPr>
                <w:ilvl w:val="0"/>
                <w:numId w:val="10"/>
              </w:numPr>
              <w:suppressLineNumbers w:val="0"/>
              <w:overflowPunct/>
              <w:autoSpaceDE/>
              <w:autoSpaceDN/>
              <w:adjustRightInd/>
              <w:spacing w:before="0" w:beforeAutospacing="0" w:after="120" w:afterAutospacing="0"/>
              <w:ind w:right="0" w:firstLineChars="0"/>
              <w:textAlignment w:val="auto"/>
              <w:rPr>
                <w:rFonts w:hint="default" w:eastAsia="宋体"/>
                <w:sz w:val="20"/>
                <w:szCs w:val="20"/>
                <w:lang w:val="en-US" w:eastAsia="zh-CN"/>
              </w:rPr>
            </w:pPr>
            <w:r>
              <w:rPr>
                <w:rFonts w:hint="default" w:eastAsia="宋体"/>
                <w:sz w:val="20"/>
                <w:szCs w:val="20"/>
                <w:lang w:val="en-US" w:eastAsia="zh-CN"/>
              </w:rPr>
              <w:t>Option 1:</w:t>
            </w:r>
            <w:r>
              <w:rPr>
                <w:rFonts w:hint="default" w:eastAsia="宋体"/>
                <w:sz w:val="20"/>
                <w:szCs w:val="20"/>
                <w:lang w:val="en-US" w:eastAsia="zh-CN"/>
              </w:rPr>
              <w:br w:type="textWrapping"/>
            </w:r>
            <w:r>
              <w:rPr>
                <w:rFonts w:hint="default" w:eastAsia="宋体"/>
                <w:sz w:val="20"/>
                <w:szCs w:val="20"/>
                <w:lang w:val="en-US" w:eastAsia="zh-CN"/>
              </w:rPr>
              <w:t>The new Rel-19 requirements shall also be release independent from Rel-17.</w:t>
            </w:r>
          </w:p>
          <w:p>
            <w:pPr>
              <w:pStyle w:val="33"/>
              <w:keepNext w:val="0"/>
              <w:keepLines w:val="0"/>
              <w:widowControl/>
              <w:numPr>
                <w:ilvl w:val="0"/>
                <w:numId w:val="10"/>
              </w:numPr>
              <w:suppressLineNumbers w:val="0"/>
              <w:overflowPunct/>
              <w:autoSpaceDE/>
              <w:autoSpaceDN/>
              <w:adjustRightInd/>
              <w:spacing w:before="0" w:beforeAutospacing="0" w:after="120" w:afterAutospacing="0"/>
              <w:ind w:right="0" w:firstLineChars="0"/>
              <w:textAlignment w:val="auto"/>
              <w:rPr>
                <w:rFonts w:hint="default"/>
                <w:b/>
                <w:bCs/>
                <w:i/>
                <w:iCs/>
                <w:szCs w:val="21"/>
                <w:vertAlign w:val="baseline"/>
                <w:lang w:val="en-US" w:eastAsia="zh-CN"/>
              </w:rPr>
            </w:pPr>
            <w:r>
              <w:rPr>
                <w:rFonts w:hint="default" w:eastAsia="宋体"/>
                <w:sz w:val="20"/>
                <w:szCs w:val="20"/>
                <w:lang w:val="en-US" w:eastAsia="zh-CN"/>
              </w:rPr>
              <w:t>Option 2:</w:t>
            </w:r>
            <w:r>
              <w:rPr>
                <w:rFonts w:hint="default" w:eastAsia="宋体"/>
                <w:sz w:val="20"/>
                <w:szCs w:val="20"/>
                <w:lang w:val="en-US" w:eastAsia="zh-CN"/>
              </w:rPr>
              <w:br w:type="textWrapping"/>
            </w:r>
            <w:r>
              <w:rPr>
                <w:rFonts w:hint="default" w:eastAsia="宋体"/>
                <w:sz w:val="20"/>
                <w:szCs w:val="20"/>
                <w:lang w:val="en-US" w:eastAsia="zh-CN"/>
              </w:rPr>
              <w:t xml:space="preserve">The new Rel-19 requirements shall also be release independent from Rel-17. The requirements </w:t>
            </w:r>
            <w:r>
              <w:rPr>
                <w:rFonts w:hint="default"/>
                <w:sz w:val="20"/>
                <w:szCs w:val="20"/>
                <w:lang w:val="en-US" w:eastAsia="zh-CN"/>
              </w:rPr>
              <w:t>shall be mandatory for Rel-18 and optional from Rel-17.</w:t>
            </w:r>
          </w:p>
        </w:tc>
      </w:tr>
    </w:tbl>
    <w:p>
      <w:pPr>
        <w:rPr>
          <w:rFonts w:hint="default"/>
          <w:b w:val="0"/>
          <w:bCs/>
          <w:highlight w:val="none"/>
          <w:u w:val="none"/>
          <w:lang w:val="en-US" w:eastAsia="zh-CN"/>
        </w:rPr>
      </w:pPr>
      <w:r>
        <w:rPr>
          <w:rFonts w:hint="eastAsia"/>
          <w:b w:val="0"/>
          <w:bCs/>
          <w:highlight w:val="none"/>
          <w:u w:val="none"/>
          <w:lang w:val="en-US" w:eastAsia="zh-CN"/>
        </w:rPr>
        <w:t>Considering 8Rx requirements was introduced in Rel-18 and independent from Rel-17. Considering the inter interference cancellation is a mandatory feature. We prefer to consider the new requirements shall be release independent from Rel-17.</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3. Propose to consider the new Rel-19 shall also be release independent from Rel-17.</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spacing w:beforeLines="100" w:afterLines="0" w:line="240" w:lineRule="auto"/>
        <w:jc w:val="both"/>
        <w:rPr>
          <w:rFonts w:hint="eastAsia"/>
          <w:bCs/>
          <w:kern w:val="0"/>
          <w:szCs w:val="21"/>
        </w:rPr>
      </w:pPr>
      <w:r>
        <w:rPr>
          <w:kern w:val="0"/>
          <w:sz w:val="20"/>
        </w:rPr>
        <w:t xml:space="preserve">In this contribution, </w:t>
      </w:r>
      <w:r>
        <w:rPr>
          <w:rFonts w:hint="eastAsia"/>
          <w:bCs/>
          <w:kern w:val="0"/>
          <w:szCs w:val="21"/>
        </w:rPr>
        <w:t>we give some discussions on demodulation performance requirements for UE demodulation performance requirements for 8Rx with MMSE-IRC</w:t>
      </w:r>
      <w:r>
        <w:rPr>
          <w:rFonts w:hint="eastAsia"/>
          <w:bCs/>
          <w:kern w:val="0"/>
          <w:szCs w:val="21"/>
          <w:lang w:val="en-US" w:eastAsia="zh-CN"/>
        </w:rPr>
        <w:t xml:space="preserve"> </w:t>
      </w:r>
      <w:r>
        <w:rPr>
          <w:rFonts w:hint="eastAsia"/>
          <w:bCs/>
          <w:kern w:val="0"/>
          <w:szCs w:val="21"/>
        </w:rPr>
        <w:t>, The conclusions are:</w:t>
      </w:r>
    </w:p>
    <w:p>
      <w:pPr>
        <w:widowControl w:val="0"/>
        <w:spacing w:beforeLines="100" w:afterLines="0" w:line="240" w:lineRule="auto"/>
        <w:jc w:val="both"/>
        <w:rPr>
          <w:rFonts w:hint="default" w:cs="Times New Roman"/>
          <w:kern w:val="2"/>
          <w:sz w:val="21"/>
          <w:lang w:val="en-US" w:eastAsia="zh-CN" w:bidi="ar-SA"/>
        </w:rPr>
      </w:pPr>
      <w:r>
        <w:rPr>
          <w:rFonts w:hint="eastAsia"/>
          <w:b/>
          <w:bCs/>
          <w:i/>
          <w:iCs/>
          <w:szCs w:val="21"/>
          <w:lang w:val="en-US" w:eastAsia="zh-CN"/>
        </w:rPr>
        <w:t>Proposal 1. Propose to prefer to consider 1dB difference for defining two sets of requirements.</w:t>
      </w:r>
    </w:p>
    <w:p>
      <w:pPr>
        <w:widowControl w:val="0"/>
        <w:spacing w:beforeLines="100" w:afterLines="0" w:line="240" w:lineRule="auto"/>
        <w:jc w:val="both"/>
        <w:rPr>
          <w:rFonts w:hint="default"/>
          <w:b/>
          <w:bCs/>
          <w:i/>
          <w:iCs/>
          <w:sz w:val="21"/>
          <w:szCs w:val="21"/>
          <w:lang w:val="en-US" w:eastAsia="zh-CN"/>
        </w:rPr>
      </w:pPr>
      <w:r>
        <w:rPr>
          <w:rFonts w:hint="eastAsia"/>
          <w:b/>
          <w:bCs/>
          <w:i/>
          <w:iCs/>
          <w:sz w:val="21"/>
          <w:szCs w:val="21"/>
          <w:lang w:val="en-US" w:eastAsia="zh-CN"/>
        </w:rPr>
        <w:t>Proposal 2. To consider if UEs supporting both 8Rx and 2/4Rx, the 2/4Rx tests under inter cell interference and under intra cell inter user interference can be skipped if the corresponding 8Rx requirements are passed.</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3. Propose to consider the new Rel-19 shall also be release independent from Rel-17.</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1"/>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 xml:space="preserve">RP-240831, New WID: WI resulting from discussion on Demodulation performance requirements enhancements. </w:t>
      </w:r>
    </w:p>
    <w:p>
      <w:pPr>
        <w:pStyle w:val="33"/>
        <w:numPr>
          <w:ilvl w:val="0"/>
          <w:numId w:val="11"/>
        </w:numPr>
        <w:spacing w:afterLines="0" w:line="259" w:lineRule="auto"/>
        <w:ind w:right="-22"/>
        <w:jc w:val="left"/>
        <w:rPr>
          <w:rFonts w:hint="eastAsia" w:eastAsia="宋体" w:cstheme="minorBidi"/>
          <w:kern w:val="0"/>
          <w:sz w:val="21"/>
          <w:szCs w:val="21"/>
          <w:lang w:val="en-US" w:eastAsia="en-US"/>
        </w:rPr>
      </w:pPr>
      <w:r>
        <w:rPr>
          <w:rFonts w:hint="eastAsia" w:eastAsia="宋体" w:cstheme="minorBidi"/>
          <w:kern w:val="0"/>
          <w:sz w:val="21"/>
          <w:szCs w:val="21"/>
          <w:lang w:val="en-US" w:eastAsia="en-US"/>
        </w:rPr>
        <w:t>R4-2504694, Way forward for [114bis][322] NR_demod_Ph5_Part2_UE</w:t>
      </w:r>
      <w:r>
        <w:rPr>
          <w:rFonts w:hint="eastAsia" w:eastAsia="宋体" w:cstheme="minorBidi"/>
          <w:kern w:val="0"/>
          <w:sz w:val="21"/>
          <w:szCs w:val="21"/>
          <w:lang w:val="en-US" w:eastAsia="zh-CN"/>
        </w:rPr>
        <w:t>. Nokia</w:t>
      </w:r>
      <w:r>
        <w:rPr>
          <w:rFonts w:hint="eastAsia" w:eastAsia="宋体" w:cstheme="minorBidi"/>
          <w:kern w:val="0"/>
          <w:sz w:val="21"/>
          <w:szCs w:val="21"/>
          <w:lang w:val="en-US" w:eastAsia="en-US"/>
        </w:rPr>
        <w:t>.</w:t>
      </w:r>
    </w:p>
    <w:p>
      <w:pPr>
        <w:pStyle w:val="33"/>
        <w:numPr>
          <w:ilvl w:val="0"/>
          <w:numId w:val="11"/>
        </w:numPr>
        <w:spacing w:afterLines="0" w:line="259" w:lineRule="auto"/>
        <w:ind w:right="-22"/>
        <w:jc w:val="left"/>
        <w:rPr>
          <w:rFonts w:hint="default" w:eastAsia="宋体" w:cstheme="minorBidi"/>
          <w:kern w:val="0"/>
          <w:sz w:val="21"/>
          <w:szCs w:val="21"/>
          <w:lang w:val="en-US" w:eastAsia="en-US"/>
        </w:rPr>
      </w:pPr>
      <w:r>
        <w:rPr>
          <w:rFonts w:hint="eastAsia" w:eastAsia="宋体" w:cstheme="minorBidi"/>
          <w:kern w:val="0"/>
          <w:sz w:val="21"/>
          <w:szCs w:val="21"/>
          <w:lang w:val="en-US" w:eastAsia="en-US"/>
        </w:rPr>
        <w:t>R4-2503545</w:t>
      </w:r>
      <w:r>
        <w:rPr>
          <w:rFonts w:hint="eastAsia" w:eastAsia="宋体" w:cstheme="minorBidi"/>
          <w:kern w:val="0"/>
          <w:sz w:val="21"/>
          <w:szCs w:val="21"/>
          <w:lang w:val="en-US" w:eastAsia="zh-CN"/>
        </w:rPr>
        <w:t>, Summary of simulation results for ICI and MU-MIMO with 8RX.</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0FF64EA"/>
    <w:multiLevelType w:val="multilevel"/>
    <w:tmpl w:val="00FF64E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67B5222"/>
    <w:multiLevelType w:val="multilevel"/>
    <w:tmpl w:val="367B522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148" w:hanging="360"/>
      </w:pPr>
      <w:rPr>
        <w:rFonts w:hint="default" w:ascii="Courier New" w:hAnsi="Courier New" w:cs="Courier New"/>
      </w:rPr>
    </w:lvl>
    <w:lvl w:ilvl="2" w:tentative="0">
      <w:start w:val="1"/>
      <w:numFmt w:val="bullet"/>
      <w:lvlText w:val=""/>
      <w:lvlJc w:val="left"/>
      <w:pPr>
        <w:ind w:left="1868" w:hanging="360"/>
      </w:pPr>
      <w:rPr>
        <w:rFonts w:hint="default" w:ascii="Wingdings" w:hAnsi="Wingdings"/>
      </w:rPr>
    </w:lvl>
    <w:lvl w:ilvl="3" w:tentative="0">
      <w:start w:val="1"/>
      <w:numFmt w:val="bullet"/>
      <w:lvlText w:val=""/>
      <w:lvlJc w:val="left"/>
      <w:pPr>
        <w:ind w:left="2588" w:hanging="360"/>
      </w:pPr>
      <w:rPr>
        <w:rFonts w:hint="default" w:ascii="Symbol" w:hAnsi="Symbol"/>
      </w:rPr>
    </w:lvl>
    <w:lvl w:ilvl="4" w:tentative="0">
      <w:start w:val="1"/>
      <w:numFmt w:val="bullet"/>
      <w:lvlText w:val="o"/>
      <w:lvlJc w:val="left"/>
      <w:pPr>
        <w:ind w:left="3308" w:hanging="360"/>
      </w:pPr>
      <w:rPr>
        <w:rFonts w:hint="default" w:ascii="Courier New" w:hAnsi="Courier New" w:cs="Courier New"/>
      </w:rPr>
    </w:lvl>
    <w:lvl w:ilvl="5" w:tentative="0">
      <w:start w:val="1"/>
      <w:numFmt w:val="bullet"/>
      <w:lvlText w:val=""/>
      <w:lvlJc w:val="left"/>
      <w:pPr>
        <w:ind w:left="4028" w:hanging="360"/>
      </w:pPr>
      <w:rPr>
        <w:rFonts w:hint="default" w:ascii="Wingdings" w:hAnsi="Wingdings"/>
      </w:rPr>
    </w:lvl>
    <w:lvl w:ilvl="6" w:tentative="0">
      <w:start w:val="1"/>
      <w:numFmt w:val="bullet"/>
      <w:lvlText w:val=""/>
      <w:lvlJc w:val="left"/>
      <w:pPr>
        <w:ind w:left="4748" w:hanging="360"/>
      </w:pPr>
      <w:rPr>
        <w:rFonts w:hint="default" w:ascii="Symbol" w:hAnsi="Symbol"/>
      </w:rPr>
    </w:lvl>
    <w:lvl w:ilvl="7" w:tentative="0">
      <w:start w:val="1"/>
      <w:numFmt w:val="bullet"/>
      <w:lvlText w:val="o"/>
      <w:lvlJc w:val="left"/>
      <w:pPr>
        <w:ind w:left="5468" w:hanging="360"/>
      </w:pPr>
      <w:rPr>
        <w:rFonts w:hint="default" w:ascii="Courier New" w:hAnsi="Courier New" w:cs="Courier New"/>
      </w:rPr>
    </w:lvl>
    <w:lvl w:ilvl="8" w:tentative="0">
      <w:start w:val="1"/>
      <w:numFmt w:val="bullet"/>
      <w:lvlText w:val=""/>
      <w:lvlJc w:val="left"/>
      <w:pPr>
        <w:ind w:left="6188" w:hanging="360"/>
      </w:pPr>
      <w:rPr>
        <w:rFonts w:hint="default" w:ascii="Wingdings" w:hAnsi="Wingding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9"/>
  </w:num>
  <w:num w:numId="3">
    <w:abstractNumId w:val="4"/>
  </w:num>
  <w:num w:numId="4">
    <w:abstractNumId w:val="6"/>
  </w:num>
  <w:num w:numId="5">
    <w:abstractNumId w:val="1"/>
  </w:num>
  <w:num w:numId="6">
    <w:abstractNumId w:val="0"/>
  </w:num>
  <w:num w:numId="7">
    <w:abstractNumId w:val="10"/>
  </w:num>
  <w:num w:numId="8">
    <w:abstractNumId w:val="2"/>
  </w:num>
  <w:num w:numId="9">
    <w:abstractNumId w:val="5"/>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0C11B5"/>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28607A"/>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81654"/>
    <w:rsid w:val="042D2E97"/>
    <w:rsid w:val="04305EA0"/>
    <w:rsid w:val="04352418"/>
    <w:rsid w:val="043865BF"/>
    <w:rsid w:val="044261E5"/>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5A7238"/>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272C59"/>
    <w:rsid w:val="0B286E2E"/>
    <w:rsid w:val="0B3326AE"/>
    <w:rsid w:val="0B3D701F"/>
    <w:rsid w:val="0B3E7DD7"/>
    <w:rsid w:val="0B561995"/>
    <w:rsid w:val="0B5B7A88"/>
    <w:rsid w:val="0B5C2C2A"/>
    <w:rsid w:val="0B665E0A"/>
    <w:rsid w:val="0B791556"/>
    <w:rsid w:val="0B8436DD"/>
    <w:rsid w:val="0B847B39"/>
    <w:rsid w:val="0B9E71DF"/>
    <w:rsid w:val="0BB524B8"/>
    <w:rsid w:val="0BC63DB2"/>
    <w:rsid w:val="0BCC4043"/>
    <w:rsid w:val="0BCC4B6A"/>
    <w:rsid w:val="0C0535F6"/>
    <w:rsid w:val="0C1E494F"/>
    <w:rsid w:val="0C2059EB"/>
    <w:rsid w:val="0C2E6A23"/>
    <w:rsid w:val="0C3427D0"/>
    <w:rsid w:val="0C43327D"/>
    <w:rsid w:val="0C4426AF"/>
    <w:rsid w:val="0C4577EC"/>
    <w:rsid w:val="0C5C6396"/>
    <w:rsid w:val="0C647D62"/>
    <w:rsid w:val="0C650A20"/>
    <w:rsid w:val="0C6E11B8"/>
    <w:rsid w:val="0C723CD1"/>
    <w:rsid w:val="0C8517E0"/>
    <w:rsid w:val="0C9E6C42"/>
    <w:rsid w:val="0CB72726"/>
    <w:rsid w:val="0CB752EB"/>
    <w:rsid w:val="0CB94808"/>
    <w:rsid w:val="0CC37BC2"/>
    <w:rsid w:val="0CC83EB0"/>
    <w:rsid w:val="0CD757AC"/>
    <w:rsid w:val="0CD87ABE"/>
    <w:rsid w:val="0CE26C42"/>
    <w:rsid w:val="0CE76B48"/>
    <w:rsid w:val="0CF62FDB"/>
    <w:rsid w:val="0CFB523A"/>
    <w:rsid w:val="0D2132FE"/>
    <w:rsid w:val="0D4B44A1"/>
    <w:rsid w:val="0D566E6A"/>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3C5556"/>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1D83"/>
    <w:rsid w:val="0FB74CF0"/>
    <w:rsid w:val="0FBE2A42"/>
    <w:rsid w:val="0FC17CCE"/>
    <w:rsid w:val="0FC424B9"/>
    <w:rsid w:val="0FD70565"/>
    <w:rsid w:val="0FEC680C"/>
    <w:rsid w:val="0FFD1BFC"/>
    <w:rsid w:val="0FFD3E3B"/>
    <w:rsid w:val="10007AD6"/>
    <w:rsid w:val="100E19D0"/>
    <w:rsid w:val="100F503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118CB"/>
    <w:rsid w:val="137266E0"/>
    <w:rsid w:val="137C69DD"/>
    <w:rsid w:val="138E530D"/>
    <w:rsid w:val="13AA5FA1"/>
    <w:rsid w:val="13AF412D"/>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01304B"/>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DE70CE"/>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244C6"/>
    <w:rsid w:val="19AD5184"/>
    <w:rsid w:val="19B46E10"/>
    <w:rsid w:val="19C456C1"/>
    <w:rsid w:val="19D134CE"/>
    <w:rsid w:val="19D75435"/>
    <w:rsid w:val="19DD71E7"/>
    <w:rsid w:val="19F061A1"/>
    <w:rsid w:val="1A054259"/>
    <w:rsid w:val="1A081816"/>
    <w:rsid w:val="1A165171"/>
    <w:rsid w:val="1A2507F9"/>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637AD"/>
    <w:rsid w:val="1B3E0DB5"/>
    <w:rsid w:val="1B454C94"/>
    <w:rsid w:val="1B5258E6"/>
    <w:rsid w:val="1B6404E0"/>
    <w:rsid w:val="1B670671"/>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17FAC"/>
    <w:rsid w:val="1C132CB9"/>
    <w:rsid w:val="1C1A6AF0"/>
    <w:rsid w:val="1C1E50D8"/>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BC25FB"/>
    <w:rsid w:val="1EC36E9D"/>
    <w:rsid w:val="1EDE4CB0"/>
    <w:rsid w:val="1EE25FDD"/>
    <w:rsid w:val="1EF5103F"/>
    <w:rsid w:val="1F090F9B"/>
    <w:rsid w:val="1F0E5D6B"/>
    <w:rsid w:val="1F4B1A5F"/>
    <w:rsid w:val="1F4F2219"/>
    <w:rsid w:val="1F721405"/>
    <w:rsid w:val="1F8000C0"/>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4FDB"/>
    <w:rsid w:val="205A5AA0"/>
    <w:rsid w:val="20773A28"/>
    <w:rsid w:val="20814938"/>
    <w:rsid w:val="208574F4"/>
    <w:rsid w:val="208F6BAF"/>
    <w:rsid w:val="20A462BA"/>
    <w:rsid w:val="20A976E7"/>
    <w:rsid w:val="20B14114"/>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34FBF"/>
    <w:rsid w:val="2405417E"/>
    <w:rsid w:val="24096754"/>
    <w:rsid w:val="241B5C62"/>
    <w:rsid w:val="245872F9"/>
    <w:rsid w:val="245943D9"/>
    <w:rsid w:val="245E6B64"/>
    <w:rsid w:val="245F31D0"/>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C46F4"/>
    <w:rsid w:val="25FE58A9"/>
    <w:rsid w:val="26070462"/>
    <w:rsid w:val="260D2C45"/>
    <w:rsid w:val="26395C92"/>
    <w:rsid w:val="26484954"/>
    <w:rsid w:val="266237C3"/>
    <w:rsid w:val="266E1273"/>
    <w:rsid w:val="267550B9"/>
    <w:rsid w:val="26A30ADD"/>
    <w:rsid w:val="26C472EC"/>
    <w:rsid w:val="26E5182D"/>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61DFF"/>
    <w:rsid w:val="281F4F67"/>
    <w:rsid w:val="283527C3"/>
    <w:rsid w:val="283744B4"/>
    <w:rsid w:val="28485D62"/>
    <w:rsid w:val="285560D7"/>
    <w:rsid w:val="28760CA0"/>
    <w:rsid w:val="287D6EC0"/>
    <w:rsid w:val="28825BFB"/>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556FE"/>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84D33"/>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0109B"/>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B52B39"/>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7108C"/>
    <w:rsid w:val="2E9F6D95"/>
    <w:rsid w:val="2EA21B31"/>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EB155E"/>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C1EF3"/>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130FC"/>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8F108F"/>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AF5B41"/>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A82D36"/>
    <w:rsid w:val="36B24AE8"/>
    <w:rsid w:val="36BD0DC4"/>
    <w:rsid w:val="36C81CA8"/>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5833C7"/>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22FD0"/>
    <w:rsid w:val="39A602F9"/>
    <w:rsid w:val="39A611EE"/>
    <w:rsid w:val="39BD45C8"/>
    <w:rsid w:val="39C2316A"/>
    <w:rsid w:val="39D7513A"/>
    <w:rsid w:val="39DB12EF"/>
    <w:rsid w:val="39EA1403"/>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993B6E"/>
    <w:rsid w:val="3BA03B83"/>
    <w:rsid w:val="3BA073BF"/>
    <w:rsid w:val="3BB20883"/>
    <w:rsid w:val="3BC0123A"/>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CFF1FCA"/>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1A691D"/>
    <w:rsid w:val="403052F1"/>
    <w:rsid w:val="404469FD"/>
    <w:rsid w:val="404A2717"/>
    <w:rsid w:val="404E779F"/>
    <w:rsid w:val="4059090D"/>
    <w:rsid w:val="406277A4"/>
    <w:rsid w:val="4065170A"/>
    <w:rsid w:val="406E5CAB"/>
    <w:rsid w:val="40713C35"/>
    <w:rsid w:val="40745F23"/>
    <w:rsid w:val="40821CE9"/>
    <w:rsid w:val="40830062"/>
    <w:rsid w:val="40836272"/>
    <w:rsid w:val="408376F8"/>
    <w:rsid w:val="40921019"/>
    <w:rsid w:val="40A23239"/>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24D35"/>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CF230A"/>
    <w:rsid w:val="44DC46EB"/>
    <w:rsid w:val="44E95F5D"/>
    <w:rsid w:val="44F03F8F"/>
    <w:rsid w:val="44F14ECF"/>
    <w:rsid w:val="45275172"/>
    <w:rsid w:val="452754C3"/>
    <w:rsid w:val="45332511"/>
    <w:rsid w:val="45344C68"/>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0F05EF"/>
    <w:rsid w:val="491B63DF"/>
    <w:rsid w:val="491D63E9"/>
    <w:rsid w:val="492A068A"/>
    <w:rsid w:val="4932285C"/>
    <w:rsid w:val="493E2F78"/>
    <w:rsid w:val="4948613B"/>
    <w:rsid w:val="495217DF"/>
    <w:rsid w:val="4958367A"/>
    <w:rsid w:val="496E52F3"/>
    <w:rsid w:val="49814AF9"/>
    <w:rsid w:val="498A16CD"/>
    <w:rsid w:val="49922572"/>
    <w:rsid w:val="49A33C27"/>
    <w:rsid w:val="49A750B5"/>
    <w:rsid w:val="49BE07DA"/>
    <w:rsid w:val="49C314A5"/>
    <w:rsid w:val="49C84AA0"/>
    <w:rsid w:val="49D7694D"/>
    <w:rsid w:val="4A0244D3"/>
    <w:rsid w:val="4A255046"/>
    <w:rsid w:val="4A28799C"/>
    <w:rsid w:val="4A2E1525"/>
    <w:rsid w:val="4A2E4DBF"/>
    <w:rsid w:val="4A5A756D"/>
    <w:rsid w:val="4A6174B0"/>
    <w:rsid w:val="4A785772"/>
    <w:rsid w:val="4A89105B"/>
    <w:rsid w:val="4A9D2045"/>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01FD8"/>
    <w:rsid w:val="4BE90D9B"/>
    <w:rsid w:val="4BF32495"/>
    <w:rsid w:val="4BFA3FA2"/>
    <w:rsid w:val="4C022AC2"/>
    <w:rsid w:val="4C2A4544"/>
    <w:rsid w:val="4C2B4DDD"/>
    <w:rsid w:val="4C3E7365"/>
    <w:rsid w:val="4C562920"/>
    <w:rsid w:val="4C5D1F92"/>
    <w:rsid w:val="4C603F16"/>
    <w:rsid w:val="4C6262E0"/>
    <w:rsid w:val="4C6703A3"/>
    <w:rsid w:val="4C6D7518"/>
    <w:rsid w:val="4C743E16"/>
    <w:rsid w:val="4C7950C1"/>
    <w:rsid w:val="4C81419F"/>
    <w:rsid w:val="4C920978"/>
    <w:rsid w:val="4C923A72"/>
    <w:rsid w:val="4C9E2807"/>
    <w:rsid w:val="4CB96B0F"/>
    <w:rsid w:val="4CC42739"/>
    <w:rsid w:val="4CD315DD"/>
    <w:rsid w:val="4CD57D1F"/>
    <w:rsid w:val="4CE34E9F"/>
    <w:rsid w:val="4CED698D"/>
    <w:rsid w:val="4CF52D94"/>
    <w:rsid w:val="4D2A752B"/>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40C1A"/>
    <w:rsid w:val="4E4C50A3"/>
    <w:rsid w:val="4E510698"/>
    <w:rsid w:val="4E576363"/>
    <w:rsid w:val="4E635567"/>
    <w:rsid w:val="4E742982"/>
    <w:rsid w:val="4E9C0636"/>
    <w:rsid w:val="4EA30DB6"/>
    <w:rsid w:val="4EA7341F"/>
    <w:rsid w:val="4EC50C90"/>
    <w:rsid w:val="4ED02AF4"/>
    <w:rsid w:val="4EDB58B2"/>
    <w:rsid w:val="4EE925CE"/>
    <w:rsid w:val="4EEF2E30"/>
    <w:rsid w:val="4EF24828"/>
    <w:rsid w:val="4EFE7F59"/>
    <w:rsid w:val="4F171C50"/>
    <w:rsid w:val="4F285975"/>
    <w:rsid w:val="4F2A7BF3"/>
    <w:rsid w:val="4F2E2624"/>
    <w:rsid w:val="4F431C53"/>
    <w:rsid w:val="4F4A2FB1"/>
    <w:rsid w:val="4F4B49E4"/>
    <w:rsid w:val="4F4E1077"/>
    <w:rsid w:val="4F51352D"/>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52042"/>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22EEE"/>
    <w:rsid w:val="51C93676"/>
    <w:rsid w:val="51D129CA"/>
    <w:rsid w:val="51D93F8A"/>
    <w:rsid w:val="51D94E7C"/>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97BE2"/>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158CB"/>
    <w:rsid w:val="58753AAD"/>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1C0AE6"/>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4343F"/>
    <w:rsid w:val="5C4C2CF4"/>
    <w:rsid w:val="5C5A45E3"/>
    <w:rsid w:val="5C5A77B9"/>
    <w:rsid w:val="5C6B1600"/>
    <w:rsid w:val="5C712B6D"/>
    <w:rsid w:val="5C74256C"/>
    <w:rsid w:val="5C7D70D1"/>
    <w:rsid w:val="5C840E86"/>
    <w:rsid w:val="5C8542A8"/>
    <w:rsid w:val="5C975416"/>
    <w:rsid w:val="5CA1479B"/>
    <w:rsid w:val="5CA6294E"/>
    <w:rsid w:val="5CAB7154"/>
    <w:rsid w:val="5CC63E11"/>
    <w:rsid w:val="5CD8648B"/>
    <w:rsid w:val="5CDB2E8C"/>
    <w:rsid w:val="5CDB3358"/>
    <w:rsid w:val="5CE40B90"/>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940DD3"/>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27439"/>
    <w:rsid w:val="6353654C"/>
    <w:rsid w:val="63552D76"/>
    <w:rsid w:val="6359778B"/>
    <w:rsid w:val="635B63E3"/>
    <w:rsid w:val="636642CA"/>
    <w:rsid w:val="638C3395"/>
    <w:rsid w:val="63A9658E"/>
    <w:rsid w:val="63BA3154"/>
    <w:rsid w:val="63C14FC9"/>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E742EF"/>
    <w:rsid w:val="64FE700F"/>
    <w:rsid w:val="6500327F"/>
    <w:rsid w:val="6506609B"/>
    <w:rsid w:val="65083216"/>
    <w:rsid w:val="650E3D55"/>
    <w:rsid w:val="65155321"/>
    <w:rsid w:val="653A5EE7"/>
    <w:rsid w:val="65460728"/>
    <w:rsid w:val="65822810"/>
    <w:rsid w:val="65870C45"/>
    <w:rsid w:val="65932756"/>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663E8"/>
    <w:rsid w:val="664805B8"/>
    <w:rsid w:val="664E3D00"/>
    <w:rsid w:val="665654C1"/>
    <w:rsid w:val="665B55EA"/>
    <w:rsid w:val="66655F85"/>
    <w:rsid w:val="66697B98"/>
    <w:rsid w:val="667C7AEC"/>
    <w:rsid w:val="66984358"/>
    <w:rsid w:val="669B7C76"/>
    <w:rsid w:val="66A200F8"/>
    <w:rsid w:val="66A30EC2"/>
    <w:rsid w:val="66AA4BA8"/>
    <w:rsid w:val="66C955BD"/>
    <w:rsid w:val="66DC317D"/>
    <w:rsid w:val="66EB4314"/>
    <w:rsid w:val="67052092"/>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7FB0CC3"/>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61890"/>
    <w:rsid w:val="6A677080"/>
    <w:rsid w:val="6A6B4F3D"/>
    <w:rsid w:val="6A711183"/>
    <w:rsid w:val="6A762B91"/>
    <w:rsid w:val="6A7B4B9C"/>
    <w:rsid w:val="6A973A89"/>
    <w:rsid w:val="6AA516B2"/>
    <w:rsid w:val="6AAF014C"/>
    <w:rsid w:val="6ACB082B"/>
    <w:rsid w:val="6AD3247E"/>
    <w:rsid w:val="6AF805EA"/>
    <w:rsid w:val="6B2B0EFD"/>
    <w:rsid w:val="6B2C13E4"/>
    <w:rsid w:val="6B3D24B0"/>
    <w:rsid w:val="6B4B0A4C"/>
    <w:rsid w:val="6B50310B"/>
    <w:rsid w:val="6B5045E2"/>
    <w:rsid w:val="6B736A2E"/>
    <w:rsid w:val="6B775ACF"/>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647E1"/>
    <w:rsid w:val="6F0D382C"/>
    <w:rsid w:val="6F234FBA"/>
    <w:rsid w:val="6F2632E8"/>
    <w:rsid w:val="6F30363A"/>
    <w:rsid w:val="6F3316E5"/>
    <w:rsid w:val="6F3F365F"/>
    <w:rsid w:val="6F3F40F9"/>
    <w:rsid w:val="6F540897"/>
    <w:rsid w:val="6F5E436B"/>
    <w:rsid w:val="6F6F14E1"/>
    <w:rsid w:val="6F896F89"/>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047C6"/>
    <w:rsid w:val="702B6F43"/>
    <w:rsid w:val="702F2998"/>
    <w:rsid w:val="7032079E"/>
    <w:rsid w:val="703C186A"/>
    <w:rsid w:val="70570007"/>
    <w:rsid w:val="70645DE9"/>
    <w:rsid w:val="70822BAD"/>
    <w:rsid w:val="708746BC"/>
    <w:rsid w:val="708F7F54"/>
    <w:rsid w:val="709E3D85"/>
    <w:rsid w:val="70A10F30"/>
    <w:rsid w:val="70AC660B"/>
    <w:rsid w:val="70B17138"/>
    <w:rsid w:val="70BB2EF0"/>
    <w:rsid w:val="70BC2801"/>
    <w:rsid w:val="70C6646C"/>
    <w:rsid w:val="70C861E2"/>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A32D6"/>
    <w:rsid w:val="72CF1AC7"/>
    <w:rsid w:val="72E42AFA"/>
    <w:rsid w:val="72E85578"/>
    <w:rsid w:val="72EB270B"/>
    <w:rsid w:val="72EB4466"/>
    <w:rsid w:val="72FD426E"/>
    <w:rsid w:val="73004315"/>
    <w:rsid w:val="73043CFC"/>
    <w:rsid w:val="730518CF"/>
    <w:rsid w:val="730E4470"/>
    <w:rsid w:val="73161882"/>
    <w:rsid w:val="732327EB"/>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A15C21"/>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B33CF"/>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7F95BC0"/>
    <w:rsid w:val="780326B9"/>
    <w:rsid w:val="7833711D"/>
    <w:rsid w:val="78497C2E"/>
    <w:rsid w:val="7854087B"/>
    <w:rsid w:val="786955BE"/>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2776E"/>
    <w:rsid w:val="794708D9"/>
    <w:rsid w:val="794B21A1"/>
    <w:rsid w:val="794D3DE4"/>
    <w:rsid w:val="795D4CA8"/>
    <w:rsid w:val="795F3FCB"/>
    <w:rsid w:val="7964574A"/>
    <w:rsid w:val="79941CF2"/>
    <w:rsid w:val="79973382"/>
    <w:rsid w:val="79D33056"/>
    <w:rsid w:val="79D82BB5"/>
    <w:rsid w:val="79EC0256"/>
    <w:rsid w:val="79F60153"/>
    <w:rsid w:val="79FB6E2C"/>
    <w:rsid w:val="7A000A00"/>
    <w:rsid w:val="7A0C4750"/>
    <w:rsid w:val="7A3170BD"/>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994968"/>
    <w:rsid w:val="7BA47616"/>
    <w:rsid w:val="7BAA485C"/>
    <w:rsid w:val="7BAD1591"/>
    <w:rsid w:val="7BAF117E"/>
    <w:rsid w:val="7BB31662"/>
    <w:rsid w:val="7BB37B52"/>
    <w:rsid w:val="7BB83E6C"/>
    <w:rsid w:val="7BBC3252"/>
    <w:rsid w:val="7BD3716B"/>
    <w:rsid w:val="7BEC2711"/>
    <w:rsid w:val="7BF55850"/>
    <w:rsid w:val="7C1054B7"/>
    <w:rsid w:val="7C137E1D"/>
    <w:rsid w:val="7C143FB0"/>
    <w:rsid w:val="7C26369C"/>
    <w:rsid w:val="7C2A465C"/>
    <w:rsid w:val="7C305879"/>
    <w:rsid w:val="7C34521A"/>
    <w:rsid w:val="7C4A2BD1"/>
    <w:rsid w:val="7C576C70"/>
    <w:rsid w:val="7C77043F"/>
    <w:rsid w:val="7C8A7CDC"/>
    <w:rsid w:val="7C924172"/>
    <w:rsid w:val="7C9E5A24"/>
    <w:rsid w:val="7CA115DA"/>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481B6D"/>
    <w:rsid w:val="7D5B27C9"/>
    <w:rsid w:val="7D62117D"/>
    <w:rsid w:val="7D794101"/>
    <w:rsid w:val="7D834A16"/>
    <w:rsid w:val="7D9D438F"/>
    <w:rsid w:val="7DA514D2"/>
    <w:rsid w:val="7DBE1B45"/>
    <w:rsid w:val="7DBF32E6"/>
    <w:rsid w:val="7DC03698"/>
    <w:rsid w:val="7DCD4EB5"/>
    <w:rsid w:val="7E090313"/>
    <w:rsid w:val="7E3E0FEC"/>
    <w:rsid w:val="7E3E1EF2"/>
    <w:rsid w:val="7E412552"/>
    <w:rsid w:val="7E5C1ABA"/>
    <w:rsid w:val="7E62165E"/>
    <w:rsid w:val="7E622778"/>
    <w:rsid w:val="7E6F56C0"/>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A7019"/>
    <w:rsid w:val="7F9C175D"/>
    <w:rsid w:val="7FA85877"/>
    <w:rsid w:val="7FAE4683"/>
    <w:rsid w:val="7FDC52B9"/>
    <w:rsid w:val="7FE653BC"/>
    <w:rsid w:val="7FEA4D72"/>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2025-05-09T09:07:49Z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